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0.5.0.0 -->
  <w:body>
    <w:p>
      <w:pPr>
        <w:spacing w:after="120"/>
        <w:jc w:val="center"/>
        <w:rPr>
          <w:rFonts w:ascii="黑体" w:eastAsia="黑体" w:hAnsi="宋体"/>
          <w:sz w:val="32"/>
          <w:szCs w:val="32"/>
        </w:rPr>
      </w:pPr>
      <w:r>
        <w:rPr>
          <w:rFonts w:ascii="黑体" w:eastAsia="黑体" w:hAnsi="宋体" w:hint="eastAsia"/>
          <w:sz w:val="32"/>
          <w:szCs w:val="32"/>
        </w:rPr>
        <w:t>南京审计大学实验日志</w:t>
      </w: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908"/>
        <w:gridCol w:w="3041"/>
        <w:gridCol w:w="1100"/>
        <w:gridCol w:w="2473"/>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39"/>
        </w:trPr>
        <w:tc>
          <w:tcPr>
            <w:tcW w:w="1908" w:type="dxa"/>
            <w:vAlign w:val="center"/>
          </w:tcPr>
          <w:p>
            <w:pPr>
              <w:spacing w:line="600" w:lineRule="auto"/>
              <w:jc w:val="center"/>
              <w:rPr>
                <w:rFonts w:ascii="宋体" w:hAnsi="宋体"/>
                <w:sz w:val="24"/>
              </w:rPr>
            </w:pPr>
            <w:r>
              <w:rPr>
                <w:rFonts w:ascii="宋体" w:hAnsi="宋体" w:hint="eastAsia"/>
                <w:sz w:val="24"/>
              </w:rPr>
              <w:t>时间</w:t>
            </w:r>
          </w:p>
        </w:tc>
        <w:tc>
          <w:tcPr>
            <w:tcW w:w="3041" w:type="dxa"/>
            <w:vAlign w:val="center"/>
          </w:tcPr>
          <w:p>
            <w:pPr>
              <w:wordWrap w:val="0"/>
              <w:spacing w:line="600" w:lineRule="auto"/>
              <w:jc w:val="both"/>
              <w:rPr>
                <w:rFonts w:ascii="宋体" w:hAnsi="宋体"/>
                <w:sz w:val="24"/>
              </w:rPr>
            </w:pPr>
            <w:r>
              <w:rPr>
                <w:rFonts w:ascii="宋体" w:hAnsi="宋体"/>
                <w:sz w:val="24"/>
              </w:rPr>
              <w:t>2025-03-14 13:30-16:50</w:t>
            </w:r>
            <w:bookmarkStart w:id="0" w:name="_GoBack"/>
            <w:bookmarkEnd w:id="0"/>
          </w:p>
        </w:tc>
        <w:tc>
          <w:tcPr>
            <w:tcW w:w="1100" w:type="dxa"/>
            <w:vAlign w:val="center"/>
          </w:tcPr>
          <w:p>
            <w:pPr>
              <w:spacing w:line="600" w:lineRule="auto"/>
              <w:jc w:val="center"/>
              <w:rPr>
                <w:rFonts w:ascii="宋体" w:hAnsi="宋体"/>
                <w:sz w:val="24"/>
              </w:rPr>
            </w:pPr>
            <w:r>
              <w:rPr>
                <w:rFonts w:ascii="宋体" w:hAnsi="宋体" w:hint="eastAsia"/>
                <w:sz w:val="24"/>
              </w:rPr>
              <w:t>地点</w:t>
            </w:r>
          </w:p>
        </w:tc>
        <w:tc>
          <w:tcPr>
            <w:tcW w:w="2473" w:type="dxa"/>
            <w:vAlign w:val="center"/>
          </w:tcPr>
          <w:p>
            <w:pPr>
              <w:spacing w:line="600" w:lineRule="auto"/>
              <w:jc w:val="both"/>
              <w:rPr>
                <w:rFonts w:ascii="宋体" w:hAnsi="宋体"/>
                <w:sz w:val="24"/>
              </w:rPr>
            </w:pPr>
            <w:r>
              <w:rPr>
                <w:rFonts w:ascii="宋体" w:hAnsi="宋体"/>
                <w:sz w:val="24"/>
              </w:rPr>
              <w:t>文心楼201</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15"/>
        </w:trPr>
        <w:tc>
          <w:tcPr>
            <w:tcW w:w="1908" w:type="dxa"/>
            <w:vAlign w:val="center"/>
          </w:tcPr>
          <w:p>
            <w:pPr>
              <w:spacing w:line="600" w:lineRule="auto"/>
              <w:jc w:val="center"/>
              <w:rPr>
                <w:rFonts w:ascii="宋体" w:hAnsi="宋体"/>
                <w:sz w:val="24"/>
              </w:rPr>
            </w:pPr>
            <w:r>
              <w:rPr>
                <w:rFonts w:ascii="宋体" w:hAnsi="宋体" w:hint="eastAsia"/>
                <w:sz w:val="24"/>
              </w:rPr>
              <w:t>实验项目名称</w:t>
            </w:r>
          </w:p>
        </w:tc>
        <w:tc>
          <w:tcPr>
            <w:tcW w:w="6614" w:type="dxa"/>
            <w:gridSpan w:val="3"/>
            <w:vAlign w:val="center"/>
          </w:tcPr>
          <w:p>
            <w:pPr>
              <w:spacing w:line="600" w:lineRule="auto"/>
              <w:jc w:val="both"/>
              <w:rPr>
                <w:rFonts w:ascii="宋体" w:hAnsi="宋体"/>
                <w:sz w:val="24"/>
              </w:rPr>
            </w:pPr>
            <w:r>
              <w:rPr>
                <w:rFonts w:ascii="宋体" w:hAnsi="宋体"/>
                <w:sz w:val="24"/>
              </w:rPr>
              <w:t>啤酒游戏</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15"/>
        </w:trPr>
        <w:tc>
          <w:tcPr>
            <w:tcW w:w="1908" w:type="dxa"/>
            <w:vAlign w:val="center"/>
          </w:tcPr>
          <w:p>
            <w:pPr>
              <w:spacing w:line="480" w:lineRule="auto"/>
              <w:jc w:val="center"/>
              <w:rPr>
                <w:rFonts w:ascii="宋体" w:hAnsi="宋体"/>
                <w:sz w:val="24"/>
              </w:rPr>
            </w:pPr>
            <w:r>
              <w:rPr>
                <w:rFonts w:ascii="宋体" w:hAnsi="宋体" w:hint="eastAsia"/>
                <w:sz w:val="24"/>
              </w:rPr>
              <w:t>实验类型</w:t>
            </w:r>
          </w:p>
        </w:tc>
        <w:tc>
          <w:tcPr>
            <w:tcW w:w="6614" w:type="dxa"/>
            <w:gridSpan w:val="3"/>
            <w:vAlign w:val="center"/>
          </w:tcPr>
          <w:p>
            <w:pPr>
              <w:spacing w:line="360" w:lineRule="auto"/>
              <w:jc w:val="both"/>
              <w:rPr>
                <w:rFonts w:ascii="宋体" w:hAnsi="宋体"/>
                <w:sz w:val="24"/>
              </w:rPr>
            </w:pPr>
            <w:r>
              <w:rPr>
                <w:rFonts w:ascii="宋体" w:hAnsi="宋体"/>
                <w:sz w:val="24"/>
              </w:rPr>
              <w:t>验证性实验,综合性实验</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187"/>
        </w:trPr>
        <w:tc>
          <w:tcPr>
            <w:tcW w:w="1908" w:type="dxa"/>
            <w:vAlign w:val="center"/>
          </w:tcPr>
          <w:p>
            <w:pPr>
              <w:jc w:val="center"/>
              <w:rPr>
                <w:rFonts w:ascii="宋体" w:hAnsi="宋体" w:hint="eastAsia"/>
                <w:sz w:val="24"/>
              </w:rPr>
            </w:pPr>
            <w:r>
              <w:rPr>
                <w:rFonts w:ascii="宋体" w:hAnsi="宋体" w:hint="eastAsia"/>
                <w:sz w:val="24"/>
              </w:rPr>
              <w:t>实验环境</w:t>
            </w:r>
          </w:p>
        </w:tc>
        <w:tc>
          <w:tcPr>
            <w:tcW w:w="6614" w:type="dxa"/>
            <w:gridSpan w:val="3"/>
          </w:tcPr>
          <w:p>
            <w:pPr>
              <w:jc w:val="both"/>
              <w:rPr>
                <w:rFonts w:ascii="宋体" w:hAnsi="宋体"/>
                <w:sz w:val="24"/>
              </w:rPr>
            </w:pPr>
            <w:r>
              <w:rPr>
                <w:rFonts w:ascii="宋体" w:hAnsi="宋体"/>
                <w:sz w:val="24"/>
              </w:rPr>
              <w:t>计算机、一鼎堂教学软件</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187"/>
        </w:trPr>
        <w:tc>
          <w:tcPr>
            <w:tcW w:w="1908" w:type="dxa"/>
            <w:vAlign w:val="center"/>
          </w:tcPr>
          <w:p>
            <w:pPr>
              <w:jc w:val="center"/>
              <w:rPr>
                <w:rFonts w:ascii="宋体" w:hAnsi="宋体"/>
                <w:sz w:val="24"/>
              </w:rPr>
            </w:pPr>
            <w:r>
              <w:rPr>
                <w:rFonts w:ascii="宋体" w:hAnsi="宋体" w:hint="eastAsia"/>
                <w:sz w:val="24"/>
              </w:rPr>
              <w:t>实验目的</w:t>
            </w:r>
          </w:p>
        </w:tc>
        <w:tc>
          <w:tcPr>
            <w:tcW w:w="6614" w:type="dxa"/>
            <w:gridSpan w:val="3"/>
          </w:tcPr>
          <w:p>
            <w:pPr>
              <w:jc w:val="both"/>
              <w:rPr>
                <w:rFonts w:ascii="宋体" w:hAnsi="宋体"/>
                <w:sz w:val="24"/>
              </w:rPr>
            </w:pPr>
            <w:r>
              <w:rPr>
                <w:rFonts w:ascii="宋体" w:hAnsi="宋体"/>
                <w:sz w:val="24"/>
              </w:rPr>
              <w:t>（1）让学生体验传统供应链结构模型</w:t>
            </w:r>
          </w:p>
          <w:p>
            <w:pPr>
              <w:jc w:val="both"/>
              <w:rPr>
                <w:rFonts w:ascii="宋体" w:hAnsi="宋体"/>
                <w:sz w:val="24"/>
              </w:rPr>
            </w:pPr>
            <w:r>
              <w:rPr>
                <w:rFonts w:ascii="宋体" w:hAnsi="宋体"/>
                <w:sz w:val="24"/>
              </w:rPr>
              <w:t>（2）让学生理解牛鞭效应现象的产生</w:t>
            </w:r>
          </w:p>
          <w:p>
            <w:pPr>
              <w:jc w:val="both"/>
              <w:rPr>
                <w:rFonts w:ascii="宋体" w:hAnsi="宋体"/>
                <w:sz w:val="24"/>
              </w:rPr>
            </w:pPr>
            <w:r>
              <w:rPr>
                <w:rFonts w:ascii="宋体" w:hAnsi="宋体"/>
                <w:sz w:val="24"/>
              </w:rPr>
              <w:t>（3）让学生理解牛鞭效应背后的因素</w:t>
            </w:r>
          </w:p>
          <w:p>
            <w:pPr>
              <w:jc w:val="both"/>
              <w:rPr>
                <w:rFonts w:ascii="宋体" w:hAnsi="宋体"/>
                <w:sz w:val="24"/>
              </w:rPr>
            </w:pPr>
            <w:r>
              <w:rPr>
                <w:rFonts w:ascii="宋体" w:hAnsi="宋体"/>
                <w:sz w:val="24"/>
              </w:rPr>
              <w:t>（4）让学生理解缩短供应周期对牛鞭效应的影响</w:t>
            </w:r>
          </w:p>
          <w:p>
            <w:pPr>
              <w:jc w:val="both"/>
              <w:rPr>
                <w:rFonts w:ascii="宋体" w:hAnsi="宋体"/>
                <w:sz w:val="24"/>
              </w:rPr>
            </w:pPr>
            <w:r>
              <w:rPr>
                <w:rFonts w:ascii="宋体" w:hAnsi="宋体"/>
                <w:sz w:val="24"/>
              </w:rPr>
              <w:t>（5）让学生理解系统结构对个人决策行为的影响</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187"/>
        </w:trPr>
        <w:tc>
          <w:tcPr>
            <w:tcW w:w="1908" w:type="dxa"/>
            <w:vAlign w:val="center"/>
          </w:tcPr>
          <w:p>
            <w:pPr>
              <w:jc w:val="center"/>
              <w:rPr>
                <w:rFonts w:ascii="宋体" w:eastAsia="宋体" w:hAnsi="宋体" w:hint="eastAsia"/>
                <w:sz w:val="24"/>
                <w:lang w:val="en-US" w:eastAsia="zh-CN"/>
              </w:rPr>
            </w:pPr>
            <w:r>
              <w:rPr>
                <w:rFonts w:ascii="宋体" w:hAnsi="宋体" w:hint="eastAsia"/>
                <w:sz w:val="24"/>
              </w:rPr>
              <w:t>实验</w:t>
            </w:r>
            <w:r>
              <w:rPr>
                <w:rFonts w:ascii="宋体" w:hAnsi="宋体" w:hint="eastAsia"/>
                <w:sz w:val="24"/>
                <w:lang w:val="en-US" w:eastAsia="zh-CN"/>
              </w:rPr>
              <w:t>要求</w:t>
            </w:r>
          </w:p>
        </w:tc>
        <w:tc>
          <w:tcPr>
            <w:tcW w:w="6614" w:type="dxa"/>
            <w:gridSpan w:val="3"/>
          </w:tcPr>
          <w:p>
            <w:pPr>
              <w:jc w:val="both"/>
              <w:rPr>
                <w:rFonts w:ascii="宋体" w:hAnsi="宋体"/>
                <w:sz w:val="24"/>
              </w:rPr>
            </w:pPr>
            <w:r>
              <w:rPr>
                <w:rFonts w:ascii="宋体" w:hAnsi="宋体"/>
                <w:sz w:val="24"/>
              </w:rPr>
              <w:t>了解供应链管理相关知识点</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187"/>
        </w:trPr>
        <w:tc>
          <w:tcPr>
            <w:tcW w:w="1908" w:type="dxa"/>
            <w:vAlign w:val="center"/>
          </w:tcPr>
          <w:p>
            <w:pPr>
              <w:jc w:val="center"/>
              <w:rPr>
                <w:rFonts w:ascii="宋体" w:hAnsi="宋体"/>
                <w:sz w:val="24"/>
              </w:rPr>
            </w:pPr>
            <w:r>
              <w:rPr>
                <w:rFonts w:ascii="宋体" w:hAnsi="宋体" w:hint="eastAsia"/>
                <w:sz w:val="24"/>
              </w:rPr>
              <w:t>实验内容</w:t>
            </w:r>
          </w:p>
        </w:tc>
        <w:tc>
          <w:tcPr>
            <w:tcW w:w="6614" w:type="dxa"/>
            <w:gridSpan w:val="3"/>
          </w:tcPr>
          <w:p>
            <w:pPr>
              <w:jc w:val="both"/>
              <w:rPr>
                <w:rFonts w:ascii="宋体" w:hAnsi="宋体"/>
                <w:sz w:val="24"/>
              </w:rPr>
            </w:pPr>
            <w:r>
              <w:rPr>
                <w:rFonts w:ascii="宋体" w:hAnsi="宋体"/>
                <w:sz w:val="24"/>
              </w:rPr>
              <w:t>“牛鞭效应”是指供应链上的一种需求变异放大现象，是信息流从最终客户端向原始供应商端传递时，无法有效地实现信息共享，使得信息扭曲而逐级放大，导致了需求信息出现越来越大的波动，此信息扭曲的放大作用在图形上很像一个甩起的牛鞭，因此被形象地称为牛鞭效应。</w:t>
            </w:r>
          </w:p>
          <w:p>
            <w:pPr>
              <w:jc w:val="both"/>
              <w:rPr>
                <w:rFonts w:ascii="宋体" w:hAnsi="宋体"/>
                <w:sz w:val="24"/>
              </w:rPr>
            </w:pPr>
            <w:r>
              <w:rPr>
                <w:rFonts w:ascii="宋体" w:hAnsi="宋体"/>
                <w:sz w:val="24"/>
              </w:rPr>
              <w:t>通过10~30轮操作，学生分别扮演工厂、批发商、零售商，完成每一期的生产/采购决策和销售决策，直到教师在实验分析出查看牛鞭效应已经产生或者学生资金为负，无法再进行决策为止。</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581"/>
        </w:trPr>
        <w:tc>
          <w:tcPr>
            <w:tcW w:w="1908" w:type="dxa"/>
            <w:vAlign w:val="center"/>
          </w:tcPr>
          <w:p>
            <w:pPr>
              <w:jc w:val="center"/>
              <w:rPr>
                <w:rFonts w:ascii="宋体" w:hAnsi="宋体"/>
                <w:sz w:val="24"/>
              </w:rPr>
            </w:pPr>
            <w:r>
              <w:rPr>
                <w:rFonts w:ascii="宋体" w:hAnsi="宋体" w:hint="eastAsia"/>
                <w:sz w:val="24"/>
              </w:rPr>
              <w:t>实验过程和结果</w:t>
            </w:r>
          </w:p>
        </w:tc>
        <w:tc>
          <w:tcPr>
            <w:tcW w:w="6614" w:type="dxa"/>
            <w:gridSpan w:val="3"/>
          </w:tcPr>
          <w:p>
            <w:pPr>
              <w:bidi w:val="0"/>
              <w:spacing w:after="280" w:afterAutospacing="1"/>
              <w:jc w:val="left"/>
              <w:rPr>
                <w:rFonts w:ascii="宋体" w:hAnsi="宋体"/>
                <w:sz w:val="24"/>
              </w:rPr>
            </w:pPr>
            <w:r>
              <w:rPr>
                <w:rtl w:val="0"/>
              </w:rPr>
              <w:t>实验过程：</w:t>
            </w:r>
          </w:p>
          <w:p>
            <w:pPr>
              <w:numPr>
                <w:numId w:val="1"/>
              </w:numPr>
              <w:bidi w:val="0"/>
              <w:spacing w:after="280" w:afterAutospacing="1"/>
              <w:jc w:val="left"/>
            </w:pPr>
            <w:r>
              <w:rPr>
                <w:rtl w:val="0"/>
              </w:rPr>
              <w:t>了解实验市场环境</w:t>
            </w:r>
          </w:p>
          <w:p>
            <w:pPr>
              <w:bidi w:val="0"/>
              <w:spacing w:after="280" w:afterAutospacing="1"/>
              <w:jc w:val="left"/>
            </w:pPr>
          </w:p>
          <w:p>
            <w:pPr>
              <w:bidi w:val="0"/>
              <w:jc w:val="left"/>
              <w:rPr>
                <w:rtl w:val="0"/>
              </w:rPr>
            </w:pPr>
          </w:p>
          <w:tbl>
            <w:tblPr>
              <w:tblW w:w="3840" w:type="dxa"/>
              <w:jc w:val="left"/>
              <w:tblCellSpacing w:w="15" w:type="dxa"/>
              <w:tblCellMar>
                <w:top w:w="15" w:type="dxa"/>
                <w:left w:w="15" w:type="dxa"/>
                <w:bottom w:w="15" w:type="dxa"/>
                <w:right w:w="15" w:type="dxa"/>
              </w:tblCellMar>
            </w:tblPr>
            <w:tblGrid>
              <w:gridCol w:w="3810"/>
            </w:tblGrid>
            <w:tr>
              <w:tblPrEx>
                <w:tblW w:w="3840" w:type="dxa"/>
                <w:jc w:val="left"/>
                <w:tblCellSpacing w:w="15" w:type="dxa"/>
                <w:tblCellMar>
                  <w:top w:w="15" w:type="dxa"/>
                  <w:left w:w="15" w:type="dxa"/>
                  <w:bottom w:w="15" w:type="dxa"/>
                  <w:right w:w="15" w:type="dxa"/>
                </w:tblCellMar>
              </w:tblPrEx>
              <w:trPr>
                <w:trHeight w:val="390"/>
                <w:tblCellSpacing w:w="15" w:type="dxa"/>
                <w:jc w:val="left"/>
              </w:trPr>
              <w:tc>
                <w:tcPr>
                  <w:tcW w:w="3840" w:type="dxa"/>
                  <w:shd w:val="clear" w:color="auto" w:fill="auto"/>
                  <w:vAlign w:val="center"/>
                </w:tcPr>
                <w:p>
                  <w:pPr>
                    <w:bidi w:val="0"/>
                    <w:spacing w:after="0" w:afterAutospacing="0"/>
                  </w:pPr>
                  <w:r>
                    <w:rPr>
                      <w:rtl w:val="0"/>
                    </w:rPr>
                    <w:t>每轮库存成本:1元</w:t>
                  </w:r>
                </w:p>
              </w:tc>
            </w:tr>
            <w:tr>
              <w:tblPrEx>
                <w:tblW w:w="3840" w:type="dxa"/>
                <w:jc w:val="left"/>
                <w:tblCellSpacing w:w="15" w:type="dxa"/>
                <w:tblCellMar>
                  <w:top w:w="15" w:type="dxa"/>
                  <w:left w:w="15" w:type="dxa"/>
                  <w:bottom w:w="15" w:type="dxa"/>
                  <w:right w:w="15" w:type="dxa"/>
                </w:tblCellMar>
              </w:tblPrEx>
              <w:trPr>
                <w:trHeight w:val="390"/>
                <w:tblCellSpacing w:w="15" w:type="dxa"/>
                <w:jc w:val="left"/>
              </w:trPr>
              <w:tc>
                <w:tcPr>
                  <w:tcW w:w="3840" w:type="dxa"/>
                  <w:shd w:val="clear" w:color="auto" w:fill="auto"/>
                  <w:vAlign w:val="center"/>
                </w:tcPr>
                <w:p>
                  <w:pPr>
                    <w:bidi w:val="0"/>
                    <w:spacing w:after="0" w:afterAutospacing="0"/>
                  </w:pPr>
                  <w:r>
                    <w:rPr>
                      <w:rtl w:val="0"/>
                    </w:rPr>
                    <w:t>每轮缺货罚金:2元</w:t>
                  </w:r>
                </w:p>
              </w:tc>
            </w:tr>
            <w:tr>
              <w:tblPrEx>
                <w:tblW w:w="3840" w:type="dxa"/>
                <w:jc w:val="left"/>
                <w:tblCellSpacing w:w="15" w:type="dxa"/>
                <w:tblCellMar>
                  <w:top w:w="15" w:type="dxa"/>
                  <w:left w:w="15" w:type="dxa"/>
                  <w:bottom w:w="15" w:type="dxa"/>
                  <w:right w:w="15" w:type="dxa"/>
                </w:tblCellMar>
              </w:tblPrEx>
              <w:trPr>
                <w:trHeight w:val="390"/>
                <w:tblCellSpacing w:w="15" w:type="dxa"/>
                <w:jc w:val="left"/>
              </w:trPr>
              <w:tc>
                <w:tcPr>
                  <w:tcW w:w="3840" w:type="dxa"/>
                  <w:shd w:val="clear" w:color="auto" w:fill="auto"/>
                  <w:vAlign w:val="center"/>
                </w:tcPr>
                <w:p>
                  <w:pPr>
                    <w:bidi w:val="0"/>
                    <w:spacing w:after="0" w:afterAutospacing="0"/>
                  </w:pPr>
                  <w:r>
                    <w:rPr>
                      <w:rtl w:val="0"/>
                    </w:rPr>
                    <w:t>工厂生产成本:2元</w:t>
                  </w:r>
                </w:p>
              </w:tc>
            </w:tr>
            <w:tr>
              <w:tblPrEx>
                <w:tblW w:w="3840" w:type="dxa"/>
                <w:jc w:val="left"/>
                <w:tblCellSpacing w:w="15" w:type="dxa"/>
                <w:tblCellMar>
                  <w:top w:w="15" w:type="dxa"/>
                  <w:left w:w="15" w:type="dxa"/>
                  <w:bottom w:w="15" w:type="dxa"/>
                  <w:right w:w="15" w:type="dxa"/>
                </w:tblCellMar>
              </w:tblPrEx>
              <w:trPr>
                <w:trHeight w:val="390"/>
                <w:tblCellSpacing w:w="15" w:type="dxa"/>
                <w:jc w:val="left"/>
              </w:trPr>
              <w:tc>
                <w:tcPr>
                  <w:tcW w:w="3840" w:type="dxa"/>
                  <w:shd w:val="clear" w:color="auto" w:fill="auto"/>
                  <w:vAlign w:val="center"/>
                </w:tcPr>
                <w:p>
                  <w:pPr>
                    <w:bidi w:val="0"/>
                    <w:spacing w:after="0" w:afterAutospacing="0"/>
                  </w:pPr>
                  <w:r>
                    <w:rPr>
                      <w:rtl w:val="0"/>
                    </w:rPr>
                    <w:t>利润:4元</w:t>
                  </w:r>
                </w:p>
              </w:tc>
            </w:tr>
            <w:tr>
              <w:tblPrEx>
                <w:tblW w:w="3840" w:type="dxa"/>
                <w:jc w:val="left"/>
                <w:tblCellSpacing w:w="15" w:type="dxa"/>
                <w:tblCellMar>
                  <w:top w:w="15" w:type="dxa"/>
                  <w:left w:w="15" w:type="dxa"/>
                  <w:bottom w:w="15" w:type="dxa"/>
                  <w:right w:w="15" w:type="dxa"/>
                </w:tblCellMar>
              </w:tblPrEx>
              <w:trPr>
                <w:trHeight w:val="390"/>
                <w:tblCellSpacing w:w="15" w:type="dxa"/>
                <w:jc w:val="left"/>
              </w:trPr>
              <w:tc>
                <w:tcPr>
                  <w:tcW w:w="3840" w:type="dxa"/>
                  <w:shd w:val="clear" w:color="auto" w:fill="auto"/>
                  <w:vAlign w:val="center"/>
                </w:tcPr>
                <w:p>
                  <w:pPr>
                    <w:bidi w:val="0"/>
                    <w:spacing w:after="0" w:afterAutospacing="0"/>
                  </w:pPr>
                  <w:r>
                    <w:rPr>
                      <w:rtl w:val="0"/>
                    </w:rPr>
                    <w:t>零售商初始库存:1,000件</w:t>
                  </w:r>
                </w:p>
              </w:tc>
            </w:tr>
            <w:tr>
              <w:tblPrEx>
                <w:tblW w:w="3840" w:type="dxa"/>
                <w:jc w:val="left"/>
                <w:tblCellSpacing w:w="15" w:type="dxa"/>
                <w:tblCellMar>
                  <w:top w:w="15" w:type="dxa"/>
                  <w:left w:w="15" w:type="dxa"/>
                  <w:bottom w:w="15" w:type="dxa"/>
                  <w:right w:w="15" w:type="dxa"/>
                </w:tblCellMar>
              </w:tblPrEx>
              <w:trPr>
                <w:trHeight w:val="390"/>
                <w:tblCellSpacing w:w="15" w:type="dxa"/>
                <w:jc w:val="left"/>
              </w:trPr>
              <w:tc>
                <w:tcPr>
                  <w:tcW w:w="3840" w:type="dxa"/>
                  <w:shd w:val="clear" w:color="auto" w:fill="auto"/>
                  <w:vAlign w:val="center"/>
                </w:tcPr>
                <w:p>
                  <w:pPr>
                    <w:bidi w:val="0"/>
                    <w:spacing w:after="0" w:afterAutospacing="0"/>
                  </w:pPr>
                  <w:r>
                    <w:rPr>
                      <w:rtl w:val="0"/>
                    </w:rPr>
                    <w:t>零售商初始资金:200,000元</w:t>
                  </w:r>
                </w:p>
              </w:tc>
            </w:tr>
            <w:tr>
              <w:tblPrEx>
                <w:tblW w:w="3840" w:type="dxa"/>
                <w:jc w:val="left"/>
                <w:tblCellSpacing w:w="15" w:type="dxa"/>
                <w:tblCellMar>
                  <w:top w:w="15" w:type="dxa"/>
                  <w:left w:w="15" w:type="dxa"/>
                  <w:bottom w:w="15" w:type="dxa"/>
                  <w:right w:w="15" w:type="dxa"/>
                </w:tblCellMar>
              </w:tblPrEx>
              <w:trPr>
                <w:trHeight w:val="390"/>
                <w:tblCellSpacing w:w="15" w:type="dxa"/>
                <w:jc w:val="left"/>
              </w:trPr>
              <w:tc>
                <w:tcPr>
                  <w:tcW w:w="3840" w:type="dxa"/>
                  <w:shd w:val="clear" w:color="auto" w:fill="auto"/>
                  <w:vAlign w:val="center"/>
                </w:tcPr>
                <w:p>
                  <w:pPr>
                    <w:bidi w:val="0"/>
                    <w:spacing w:after="0" w:afterAutospacing="0"/>
                  </w:pPr>
                  <w:r>
                    <w:rPr>
                      <w:rtl w:val="0"/>
                    </w:rPr>
                    <w:t>批发商初始库存:1,500件</w:t>
                  </w:r>
                </w:p>
              </w:tc>
            </w:tr>
            <w:tr>
              <w:tblPrEx>
                <w:tblW w:w="3840" w:type="dxa"/>
                <w:jc w:val="left"/>
                <w:tblCellSpacing w:w="15" w:type="dxa"/>
                <w:tblCellMar>
                  <w:top w:w="15" w:type="dxa"/>
                  <w:left w:w="15" w:type="dxa"/>
                  <w:bottom w:w="15" w:type="dxa"/>
                  <w:right w:w="15" w:type="dxa"/>
                </w:tblCellMar>
              </w:tblPrEx>
              <w:trPr>
                <w:trHeight w:val="390"/>
                <w:tblCellSpacing w:w="15" w:type="dxa"/>
                <w:jc w:val="left"/>
              </w:trPr>
              <w:tc>
                <w:tcPr>
                  <w:tcW w:w="3840" w:type="dxa"/>
                  <w:shd w:val="clear" w:color="auto" w:fill="auto"/>
                  <w:vAlign w:val="center"/>
                </w:tcPr>
                <w:p>
                  <w:pPr>
                    <w:bidi w:val="0"/>
                    <w:spacing w:after="0" w:afterAutospacing="0"/>
                  </w:pPr>
                  <w:r>
                    <w:rPr>
                      <w:rtl w:val="0"/>
                    </w:rPr>
                    <w:t>批发商初始资金:250,000元</w:t>
                  </w:r>
                </w:p>
              </w:tc>
            </w:tr>
            <w:tr>
              <w:tblPrEx>
                <w:tblW w:w="3840" w:type="dxa"/>
                <w:jc w:val="left"/>
                <w:tblCellSpacing w:w="15" w:type="dxa"/>
                <w:tblCellMar>
                  <w:top w:w="15" w:type="dxa"/>
                  <w:left w:w="15" w:type="dxa"/>
                  <w:bottom w:w="15" w:type="dxa"/>
                  <w:right w:w="15" w:type="dxa"/>
                </w:tblCellMar>
              </w:tblPrEx>
              <w:trPr>
                <w:trHeight w:val="390"/>
                <w:tblCellSpacing w:w="15" w:type="dxa"/>
                <w:jc w:val="left"/>
              </w:trPr>
              <w:tc>
                <w:tcPr>
                  <w:tcW w:w="3840" w:type="dxa"/>
                  <w:shd w:val="clear" w:color="auto" w:fill="auto"/>
                  <w:vAlign w:val="center"/>
                </w:tcPr>
                <w:p>
                  <w:pPr>
                    <w:bidi w:val="0"/>
                    <w:spacing w:after="0" w:afterAutospacing="0"/>
                  </w:pPr>
                  <w:r>
                    <w:rPr>
                      <w:rtl w:val="0"/>
                    </w:rPr>
                    <w:t>分销商初始库存:1,800件</w:t>
                  </w:r>
                </w:p>
              </w:tc>
            </w:tr>
            <w:tr>
              <w:tblPrEx>
                <w:tblW w:w="3840" w:type="dxa"/>
                <w:jc w:val="left"/>
                <w:tblCellSpacing w:w="15" w:type="dxa"/>
                <w:tblCellMar>
                  <w:top w:w="15" w:type="dxa"/>
                  <w:left w:w="15" w:type="dxa"/>
                  <w:bottom w:w="15" w:type="dxa"/>
                  <w:right w:w="15" w:type="dxa"/>
                </w:tblCellMar>
              </w:tblPrEx>
              <w:trPr>
                <w:trHeight w:val="390"/>
                <w:tblCellSpacing w:w="15" w:type="dxa"/>
                <w:jc w:val="left"/>
              </w:trPr>
              <w:tc>
                <w:tcPr>
                  <w:tcW w:w="3840" w:type="dxa"/>
                  <w:shd w:val="clear" w:color="auto" w:fill="auto"/>
                  <w:vAlign w:val="center"/>
                </w:tcPr>
                <w:p>
                  <w:pPr>
                    <w:bidi w:val="0"/>
                    <w:spacing w:after="0" w:afterAutospacing="0"/>
                  </w:pPr>
                  <w:r>
                    <w:rPr>
                      <w:rtl w:val="0"/>
                    </w:rPr>
                    <w:t>分销商初始资金:280,000元</w:t>
                  </w:r>
                </w:p>
              </w:tc>
            </w:tr>
            <w:tr>
              <w:tblPrEx>
                <w:tblW w:w="3840" w:type="dxa"/>
                <w:jc w:val="left"/>
                <w:tblCellSpacing w:w="15" w:type="dxa"/>
                <w:tblCellMar>
                  <w:top w:w="15" w:type="dxa"/>
                  <w:left w:w="15" w:type="dxa"/>
                  <w:bottom w:w="15" w:type="dxa"/>
                  <w:right w:w="15" w:type="dxa"/>
                </w:tblCellMar>
              </w:tblPrEx>
              <w:trPr>
                <w:trHeight w:val="390"/>
                <w:tblCellSpacing w:w="15" w:type="dxa"/>
                <w:jc w:val="left"/>
              </w:trPr>
              <w:tc>
                <w:tcPr>
                  <w:tcW w:w="3840" w:type="dxa"/>
                  <w:shd w:val="clear" w:color="auto" w:fill="auto"/>
                  <w:vAlign w:val="center"/>
                </w:tcPr>
                <w:p>
                  <w:pPr>
                    <w:bidi w:val="0"/>
                    <w:spacing w:after="0" w:afterAutospacing="0"/>
                  </w:pPr>
                  <w:r>
                    <w:rPr>
                      <w:rtl w:val="0"/>
                    </w:rPr>
                    <w:t>工厂初始库存:2,000件</w:t>
                  </w:r>
                </w:p>
              </w:tc>
            </w:tr>
            <w:tr>
              <w:tblPrEx>
                <w:tblW w:w="3840" w:type="dxa"/>
                <w:jc w:val="left"/>
                <w:tblCellSpacing w:w="15" w:type="dxa"/>
                <w:tblCellMar>
                  <w:top w:w="15" w:type="dxa"/>
                  <w:left w:w="15" w:type="dxa"/>
                  <w:bottom w:w="15" w:type="dxa"/>
                  <w:right w:w="15" w:type="dxa"/>
                </w:tblCellMar>
              </w:tblPrEx>
              <w:trPr>
                <w:trHeight w:val="390"/>
                <w:tblCellSpacing w:w="15" w:type="dxa"/>
                <w:jc w:val="left"/>
              </w:trPr>
              <w:tc>
                <w:tcPr>
                  <w:tcW w:w="3840" w:type="dxa"/>
                  <w:shd w:val="clear" w:color="auto" w:fill="auto"/>
                  <w:vAlign w:val="center"/>
                </w:tcPr>
                <w:p>
                  <w:pPr>
                    <w:bidi w:val="0"/>
                    <w:spacing w:after="0" w:afterAutospacing="0"/>
                  </w:pPr>
                  <w:r>
                    <w:rPr>
                      <w:rtl w:val="0"/>
                    </w:rPr>
                    <w:t>工厂初始资金:300,000元</w:t>
                  </w:r>
                </w:p>
              </w:tc>
            </w:tr>
          </w:tbl>
          <w:p>
            <w:pPr>
              <w:bidi w:val="0"/>
              <w:spacing w:after="280" w:afterAutospacing="1"/>
            </w:pPr>
            <w:r>
              <w:rPr>
                <w:rtl w:val="0"/>
              </w:rPr>
              <w:t>本次实验进行了以下三个阶段：标准模式、缩短周期模式、战略模式</w:t>
            </w:r>
          </w:p>
          <w:p>
            <w:pPr>
              <w:bidi w:val="0"/>
              <w:spacing w:after="280" w:afterAutospacing="1"/>
            </w:pPr>
            <w:r>
              <w:rPr>
                <w:rtl w:val="0"/>
              </w:rPr>
              <w:t>2.标准模式</w:t>
            </w:r>
          </w:p>
          <w:p>
            <w:pPr>
              <w:bidi w:val="0"/>
              <w:spacing w:after="280" w:afterAutospacing="1"/>
            </w:pPr>
            <w:r>
              <w:rPr>
                <w:rtl w:val="0"/>
              </w:rPr>
              <w:t>在标准模式中，我担任批发商角色。供应链由零售商、批发商、工厂组成。收货延迟期为 2 轮，即从下订单到收到货物需要经历两轮时间间隔。零售商根据市场需求向我下订单，我依据零售商订单情况以及自身库存状况向工厂下订单。由于收货延迟期较长，在市场需求出现波动时，我需要谨慎评估订单量，既要满足零售商需求，又要避免库存积压或缺货风险。在实验过程中，我密切关注零售商订单变化趋势，同时结合自身库存水平进行订单决策。</w:t>
            </w:r>
          </w:p>
          <w:p>
            <w:pPr>
              <w:bidi w:val="0"/>
              <w:spacing w:after="280" w:afterAutospacing="1"/>
            </w:pPr>
            <w:r>
              <w:rPr>
                <w:rtl w:val="0"/>
              </w:rPr>
              <w:t>3、缩短周期模式</w:t>
            </w:r>
          </w:p>
          <w:p>
            <w:pPr>
              <w:bidi w:val="0"/>
              <w:spacing w:after="280" w:afterAutospacing="1"/>
            </w:pPr>
            <w:r>
              <w:rPr>
                <w:rtl w:val="0"/>
              </w:rPr>
              <w:t>此次我依然担任批发商角色，但该模式下收货延迟期缩短为 1 轮。这使得订单响应速度明显加快，市场需求变化能够更快地反馈到供应链各环节。我能够更及时地获取零售商订单，并更快地向工厂补货。在应对需求波动时，决策的时效性增强，库存调整更加灵活。与标准模式相比，我需要更加敏锐地捕捉市场变化，因为较短的延迟期意味着更频繁的订单操作和库存管理。</w:t>
            </w:r>
          </w:p>
          <w:p>
            <w:pPr>
              <w:bidi w:val="0"/>
              <w:spacing w:after="280" w:afterAutospacing="1"/>
            </w:pPr>
            <w:r>
              <w:rPr>
                <w:rtl w:val="0"/>
              </w:rPr>
              <w:t>4.战略模式</w:t>
            </w:r>
          </w:p>
          <w:p>
            <w:pPr>
              <w:bidi w:val="0"/>
              <w:spacing w:after="280" w:afterAutospacing="1"/>
            </w:pPr>
            <w:r>
              <w:rPr>
                <w:rtl w:val="0"/>
              </w:rPr>
              <w:t>在战略模式中，我担任工厂角色。该模式实现了信息共享，且收货延迟期为 1 轮。通过信息共享平台，我能够实时获取零售商的销售数据以及批发商的库存和订单信息。这极大地改变了生产决策的依据，不再仅仅依赖批发商的订单，而是能够直接根据市场终端需求进行生产规划。在实验中，我根据共享信息预测市场需求，制定生产计划，确保生产的啤酒数量既能满足市场需求，又不会造成过多库存积压。</w:t>
            </w:r>
          </w:p>
          <w:p>
            <w:pPr>
              <w:bidi w:val="0"/>
              <w:spacing w:after="280" w:afterAutospacing="1"/>
            </w:pPr>
            <w:r>
              <w:rPr>
                <w:rtl w:val="0"/>
              </w:rPr>
              <w:t>实验结果：</w:t>
            </w:r>
          </w:p>
          <w:p>
            <w:pPr>
              <w:bidi w:val="0"/>
              <w:spacing w:after="280" w:afterAutospacing="1"/>
            </w:pPr>
            <w:r>
              <w:rPr>
                <w:rtl w:val="0"/>
              </w:rPr>
              <w:t>1、标准模式</w:t>
            </w:r>
          </w:p>
          <w:p>
            <w:pPr>
              <w:bidi w:val="0"/>
              <w:spacing w:after="280" w:afterAutospacing="1"/>
            </w:pPr>
            <w:r>
              <w:rPr>
                <w:b/>
                <w:bCs/>
                <w:rtl w:val="0"/>
              </w:rPr>
              <w:t>（1）订单波动</w:t>
            </w:r>
            <w:r>
              <w:rPr>
                <w:rtl w:val="0"/>
              </w:rPr>
              <w:t>：从数据来看，零售商订单波动较大，这种波动沿着供应链向上游传递，到我作为批发商这里时，订单量的波动幅度进一步放大。例如，零售商初始订单量为600 箱，随后因市场需求小幅度上升，订单增加到 1100箱，而我为了确保供应，向工厂下的订单量达到了 2000 箱。工厂最终收到的订单波动比零售商初始波动大了很多。</w:t>
            </w:r>
          </w:p>
          <w:p>
            <w:pPr>
              <w:bidi w:val="0"/>
              <w:spacing w:after="280" w:afterAutospacing="1"/>
            </w:pPr>
            <w:r>
              <w:rPr>
                <w:b/>
                <w:bCs/>
                <w:rtl w:val="0"/>
              </w:rPr>
              <w:t>（2）库存情况</w:t>
            </w:r>
            <w:r>
              <w:rPr>
                <w:rtl w:val="0"/>
              </w:rPr>
              <w:t>：由于收货延迟期为 2 轮，库存调整较为滞后。在需求上升阶段，库存容易出现短缺，无法及时满足零售商订单；而当需求下降时，库存又大量积压。在实验过程中，有一段时间市场需求突然下降，零售商订单减少，但我前期为满足需求大量订货，导致库存积压了 1000箱啤酒，占用了大量资金和仓储空间。</w:t>
            </w:r>
          </w:p>
          <w:p>
            <w:pPr>
              <w:bidi w:val="0"/>
              <w:spacing w:after="280" w:afterAutospacing="1"/>
            </w:pPr>
            <w:r>
              <w:rPr>
                <w:b/>
                <w:bCs/>
                <w:rtl w:val="0"/>
              </w:rPr>
              <w:t>（3）成本分析</w:t>
            </w:r>
            <w:r>
              <w:rPr>
                <w:rtl w:val="0"/>
              </w:rPr>
              <w:t>：库存积压和缺货情况交替出现，导致库存持有成本和缺货成本都较高。库存持有成本包括仓储费用、货物损耗等，缺货成本则体现在因无法满足订单而导致的客户流失和潜在销售损失。经核算，在标准模式下，整个供应链的总成本较高。</w:t>
            </w:r>
          </w:p>
          <w:p>
            <w:pPr>
              <w:bidi w:val="0"/>
              <w:spacing w:after="280" w:afterAutospacing="1"/>
            </w:pPr>
            <w:r>
              <w:rPr>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height:24pt;width:24pt">
                  <v:imagedata r:id="rId5" o:title=""/>
                </v:shape>
              </w:pict>
            </w:r>
            <w:r>
              <w:rPr>
                <w:rtl w:val="0"/>
              </w:rPr>
              <w:commentReference w:id="1"/>
            </w:r>
          </w:p>
          <w:p>
            <w:pPr>
              <w:bidi w:val="0"/>
              <w:spacing w:after="280" w:afterAutospacing="1"/>
            </w:pPr>
            <w:r>
              <w:rPr>
                <w:rtl w:val="0"/>
              </w:rPr>
              <w:t>2、缩短周期模式</w:t>
            </w:r>
          </w:p>
          <w:p>
            <w:pPr>
              <w:bidi w:val="0"/>
              <w:spacing w:after="280" w:afterAutospacing="1"/>
            </w:pPr>
            <w:r>
              <w:rPr>
                <w:b/>
                <w:bCs/>
                <w:rtl w:val="0"/>
              </w:rPr>
              <w:t>（1）订单波动</w:t>
            </w:r>
            <w:r>
              <w:rPr>
                <w:rtl w:val="0"/>
              </w:rPr>
              <w:t>：收货延迟期缩短为 1 轮后，订单波动在一定程度上得到缓解。零售商订单变化能够更快传递到我这里，我也能更及时向工厂下单。例如，当零售商订单从 537箱增加到 600 箱时，我向工厂下的订单量为 1000 箱，相比标准模式，订单量波动的放大程度有所减小。</w:t>
            </w:r>
          </w:p>
          <w:p>
            <w:pPr>
              <w:bidi w:val="0"/>
              <w:spacing w:after="280" w:afterAutospacing="1"/>
            </w:pPr>
            <w:r>
              <w:rPr>
                <w:b/>
                <w:bCs/>
                <w:rtl w:val="0"/>
              </w:rPr>
              <w:t>（2）库存情况</w:t>
            </w:r>
            <w:r>
              <w:rPr>
                <w:rtl w:val="0"/>
              </w:rPr>
              <w:t>：库存调整的及时性显著提高。在需求波动时，能够更快地根据订单变化调整库存。当市场需求上升时，我能及时补充库存，满足零售商需求；当需求下降时，也能更快减少订单，降低库存积压风险。实验期间，库存积压情况明显减少，最多积压500箱，相比标准模式有大幅下降。</w:t>
            </w:r>
          </w:p>
          <w:p>
            <w:pPr>
              <w:bidi w:val="0"/>
              <w:spacing w:after="280" w:afterAutospacing="1"/>
            </w:pPr>
            <w:r>
              <w:rPr>
                <w:b/>
                <w:bCs/>
                <w:rtl w:val="0"/>
              </w:rPr>
              <w:t>（3）成本分析</w:t>
            </w:r>
            <w:r>
              <w:rPr>
                <w:rtl w:val="0"/>
              </w:rPr>
              <w:t>：库存持有成本和缺货成本都有所降低。由于库存管理更加灵活高效，仓储费用和货物损耗减少，同时因缺货导致的客户流失也减少，供应链总成本降低。</w:t>
            </w:r>
          </w:p>
          <w:p>
            <w:pPr>
              <w:bidi w:val="0"/>
              <w:spacing w:after="280" w:afterAutospacing="1"/>
            </w:pPr>
            <w:r>
              <w:rPr>
                <w:rtl w:val="0"/>
              </w:rPr>
              <w:pict>
                <v:shape id="_x0000_i1026" type="#_x0000_t75" style="height:24pt;width:24pt">
                  <v:imagedata r:id="rId5" o:title=""/>
                </v:shape>
              </w:pict>
            </w:r>
            <w:r>
              <w:rPr>
                <w:rtl w:val="0"/>
              </w:rPr>
              <w:commentReference w:id="2"/>
            </w:r>
          </w:p>
          <w:p>
            <w:pPr>
              <w:bidi w:val="0"/>
              <w:spacing w:after="280" w:afterAutospacing="1"/>
            </w:pPr>
            <w:r>
              <w:rPr>
                <w:rtl w:val="0"/>
              </w:rPr>
              <w:t>3、战略模式</w:t>
            </w:r>
          </w:p>
          <w:p>
            <w:pPr>
              <w:bidi w:val="0"/>
              <w:spacing w:after="280" w:afterAutospacing="1"/>
            </w:pPr>
            <w:r>
              <w:rPr>
                <w:b/>
                <w:bCs/>
                <w:rtl w:val="0"/>
              </w:rPr>
              <w:t>（1）订单波动</w:t>
            </w:r>
            <w:r>
              <w:rPr>
                <w:rtl w:val="0"/>
              </w:rPr>
              <w:t>：实现信息共享后，订单波动得到极大抑制。我作为工厂，能够直接根据零售商销售数据预测市场需求，制定合理的生产计划。从数据上看，订单量相对稳定，基本能够与市场实际需求匹配。例如，在整个实验过程中，生产订单量围绕市场实际需求波动范围在 ±100 箱以内，远低于标准模式和缩短周期模式。</w:t>
            </w:r>
          </w:p>
          <w:p>
            <w:pPr>
              <w:bidi w:val="0"/>
              <w:spacing w:after="280" w:afterAutospacing="1"/>
            </w:pPr>
            <w:r>
              <w:rPr>
                <w:b/>
                <w:bCs/>
                <w:rtl w:val="0"/>
              </w:rPr>
              <w:t>（2）库存情况</w:t>
            </w:r>
            <w:r>
              <w:rPr>
                <w:rtl w:val="0"/>
              </w:rPr>
              <w:t>：库存保持在一个较为合理的水平。通过实时信息共享，能够精准控制生产和库存，避免了库存积压和缺货情况的发生。实验期间，工厂库存始终维持在满足下一轮市场需求的合理数量，既没有过多库存占用资源，也没有出现缺货影响销售。</w:t>
            </w:r>
          </w:p>
          <w:p>
            <w:pPr>
              <w:bidi w:val="0"/>
              <w:spacing w:after="280" w:afterAutospacing="1"/>
            </w:pPr>
            <w:r>
              <w:rPr>
                <w:b/>
                <w:bCs/>
                <w:rtl w:val="0"/>
              </w:rPr>
              <w:t>（3）成本分析</w:t>
            </w:r>
            <w:r>
              <w:rPr>
                <w:rtl w:val="0"/>
              </w:rPr>
              <w:t>：供应链总成本降至最低。库存持有成本和缺货成本几乎可以忽略不计，仓储费用和货物损耗极小，同时没有因缺货造成的客户流失，生产资源得到了最优化利用。</w:t>
            </w:r>
          </w:p>
          <w:p>
            <w:pPr>
              <w:bidi w:val="0"/>
              <w:spacing w:after="280" w:afterAutospacing="1"/>
            </w:pPr>
            <w:r>
              <w:rPr>
                <w:rtl w:val="0"/>
              </w:rPr>
              <w:pict>
                <v:shape id="_x0000_i1027" type="#_x0000_t75" style="height:24pt;width:24pt">
                  <v:imagedata r:id="rId5" o:title=""/>
                </v:shape>
              </w:pict>
            </w:r>
            <w:r>
              <w:rPr>
                <w:rtl w:val="0"/>
              </w:rPr>
              <w:commentReference w:id="3"/>
            </w:r>
          </w:p>
          <w:p>
            <w:pPr>
              <w:bidi w:val="0"/>
              <w:spacing w:after="280" w:afterAutospacing="1"/>
            </w:pPr>
            <w:r>
              <w:rPr>
                <w:rtl w:val="0"/>
              </w:rPr>
              <w:t>从上述图表中可以看出，随着信息的共享和延迟期的减少，累计缺货成本和累计库存成本成下降趋势，牛鞭效应的影响逐渐减小，供应链成本越来越低，生产资源得到高效利用。</w:t>
            </w:r>
          </w:p>
          <w:p>
            <w:pPr>
              <w:bidi w:val="0"/>
              <w:spacing w:after="280" w:afterAutospacing="1"/>
            </w:pPr>
          </w:p>
          <w:p>
            <w:pPr>
              <w:bidi w:val="0"/>
              <w:spacing w:after="280" w:afterAutospacing="1"/>
              <w:rPr>
                <w:rtl w:val="0"/>
              </w:rPr>
            </w:pP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392"/>
        </w:trPr>
        <w:tc>
          <w:tcPr>
            <w:tcW w:w="1908" w:type="dxa"/>
            <w:vAlign w:val="center"/>
          </w:tcPr>
          <w:p>
            <w:pPr>
              <w:spacing w:line="360" w:lineRule="auto"/>
              <w:jc w:val="center"/>
              <w:rPr>
                <w:rFonts w:ascii="宋体" w:hAnsi="宋体" w:hint="eastAsia"/>
                <w:sz w:val="24"/>
              </w:rPr>
            </w:pPr>
            <w:r>
              <w:rPr>
                <w:rFonts w:ascii="宋体" w:hAnsi="宋体" w:hint="eastAsia"/>
                <w:sz w:val="24"/>
              </w:rPr>
              <w:t>主要问题及解决方案</w:t>
            </w:r>
          </w:p>
        </w:tc>
        <w:tc>
          <w:tcPr>
            <w:tcW w:w="6614" w:type="dxa"/>
            <w:gridSpan w:val="3"/>
          </w:tcPr>
          <w:p>
            <w:pPr>
              <w:jc w:val="both"/>
              <w:rPr>
                <w:rFonts w:ascii="宋体" w:hAnsi="宋体"/>
                <w:sz w:val="24"/>
              </w:rPr>
            </w:pPr>
            <w:r>
              <w:rPr>
                <w:rFonts w:ascii="宋体" w:hAnsi="宋体"/>
                <w:sz w:val="24"/>
              </w:rPr>
              <w:t>1、标准模式</w:t>
            </w:r>
          </w:p>
          <w:p>
            <w:pPr>
              <w:jc w:val="both"/>
              <w:rPr>
                <w:rFonts w:ascii="宋体" w:hAnsi="宋体"/>
                <w:sz w:val="24"/>
              </w:rPr>
            </w:pPr>
            <w:r>
              <w:rPr>
                <w:rFonts w:ascii="宋体" w:hAnsi="宋体"/>
                <w:sz w:val="24"/>
              </w:rPr>
              <w:t>（1）问题</w:t>
            </w:r>
          </w:p>
          <w:p>
            <w:pPr>
              <w:jc w:val="both"/>
              <w:rPr>
                <w:rFonts w:ascii="宋体" w:hAnsi="宋体"/>
                <w:sz w:val="24"/>
              </w:rPr>
            </w:pPr>
            <w:r>
              <w:rPr>
                <w:rFonts w:ascii="宋体" w:hAnsi="宋体"/>
                <w:sz w:val="24"/>
              </w:rPr>
              <w:t>牛鞭效应显著，订单波动沿供应链逐级放大，导致生产与市场需求严重脱节。</w:t>
            </w:r>
          </w:p>
          <w:p>
            <w:pPr>
              <w:jc w:val="both"/>
              <w:rPr>
                <w:rFonts w:ascii="宋体" w:hAnsi="宋体"/>
                <w:sz w:val="24"/>
              </w:rPr>
            </w:pPr>
            <w:r>
              <w:rPr>
                <w:rFonts w:ascii="宋体" w:hAnsi="宋体"/>
                <w:sz w:val="24"/>
              </w:rPr>
              <w:t>收货延迟期长，库存调整不及时，库存成本和缺货成本高。</w:t>
            </w:r>
          </w:p>
          <w:p>
            <w:pPr>
              <w:jc w:val="both"/>
              <w:rPr>
                <w:rFonts w:ascii="宋体" w:hAnsi="宋体"/>
                <w:sz w:val="24"/>
              </w:rPr>
            </w:pPr>
            <w:r>
              <w:rPr>
                <w:rFonts w:ascii="宋体" w:hAnsi="宋体"/>
                <w:sz w:val="24"/>
              </w:rPr>
              <w:t>各环节信息不透明，缺乏有效的信息共享机制，导致决策盲目性大。</w:t>
            </w:r>
          </w:p>
          <w:p>
            <w:pPr>
              <w:jc w:val="both"/>
              <w:rPr>
                <w:rFonts w:ascii="宋体" w:hAnsi="宋体"/>
                <w:sz w:val="24"/>
              </w:rPr>
            </w:pPr>
            <w:r>
              <w:rPr>
                <w:rFonts w:ascii="宋体" w:hAnsi="宋体"/>
                <w:sz w:val="24"/>
              </w:rPr>
              <w:t>（2）解决方法</w:t>
            </w:r>
          </w:p>
          <w:p>
            <w:pPr>
              <w:jc w:val="both"/>
              <w:rPr>
                <w:rFonts w:ascii="宋体" w:hAnsi="宋体"/>
                <w:sz w:val="24"/>
              </w:rPr>
            </w:pPr>
            <w:r>
              <w:rPr>
                <w:rFonts w:ascii="宋体" w:hAnsi="宋体"/>
                <w:sz w:val="24"/>
              </w:rPr>
              <w:t>建立信息共享平台，供应链各环节实时共享销售数据、库存信息等，提高信息透明度，减少信息不对称导致的需求预测偏差。</w:t>
            </w:r>
          </w:p>
          <w:p>
            <w:pPr>
              <w:jc w:val="both"/>
              <w:rPr>
                <w:rFonts w:ascii="宋体" w:hAnsi="宋体"/>
                <w:sz w:val="24"/>
              </w:rPr>
            </w:pPr>
            <w:r>
              <w:rPr>
                <w:rFonts w:ascii="宋体" w:hAnsi="宋体"/>
                <w:sz w:val="24"/>
              </w:rPr>
              <w:t>优化库存管理策略，采用联合库存管理或供应商管理库存（VMI）等方式，加强各环节之间的协同合作，共同控制库存水平。</w:t>
            </w:r>
          </w:p>
          <w:p>
            <w:pPr>
              <w:jc w:val="both"/>
              <w:rPr>
                <w:rFonts w:ascii="宋体" w:hAnsi="宋体"/>
                <w:sz w:val="24"/>
              </w:rPr>
            </w:pPr>
            <w:r>
              <w:rPr>
                <w:rFonts w:ascii="宋体" w:hAnsi="宋体"/>
                <w:sz w:val="24"/>
              </w:rPr>
              <w:t>缩短收货延迟期，通过优化物流配送流程、提高运输效率等方式，减少订单处理和货物运输时间。</w:t>
            </w:r>
          </w:p>
          <w:p>
            <w:pPr>
              <w:jc w:val="both"/>
              <w:rPr>
                <w:rFonts w:ascii="宋体" w:hAnsi="宋体"/>
                <w:sz w:val="24"/>
              </w:rPr>
            </w:pPr>
            <w:r>
              <w:rPr>
                <w:rFonts w:ascii="宋体" w:hAnsi="宋体"/>
                <w:sz w:val="24"/>
              </w:rPr>
              <w:t>2、缩短周期模式</w:t>
            </w:r>
          </w:p>
          <w:p>
            <w:pPr>
              <w:jc w:val="both"/>
              <w:rPr>
                <w:rFonts w:ascii="宋体" w:hAnsi="宋体"/>
                <w:sz w:val="24"/>
              </w:rPr>
            </w:pPr>
            <w:r>
              <w:rPr>
                <w:rFonts w:ascii="宋体" w:hAnsi="宋体"/>
                <w:sz w:val="24"/>
              </w:rPr>
              <w:t>（1）问题</w:t>
            </w:r>
          </w:p>
          <w:p>
            <w:pPr>
              <w:jc w:val="both"/>
              <w:rPr>
                <w:rFonts w:ascii="宋体" w:hAnsi="宋体"/>
                <w:sz w:val="24"/>
              </w:rPr>
            </w:pPr>
            <w:r>
              <w:rPr>
                <w:rFonts w:ascii="宋体" w:hAnsi="宋体"/>
                <w:sz w:val="24"/>
              </w:rPr>
              <w:t>虽然收货延迟期缩短，但仍存在一定的牛鞭效应，订单波动依然影响供应链效率。</w:t>
            </w:r>
          </w:p>
          <w:p>
            <w:pPr>
              <w:jc w:val="both"/>
              <w:rPr>
                <w:rFonts w:ascii="宋体" w:hAnsi="宋体"/>
                <w:sz w:val="24"/>
              </w:rPr>
            </w:pPr>
            <w:r>
              <w:rPr>
                <w:rFonts w:ascii="宋体" w:hAnsi="宋体"/>
                <w:sz w:val="24"/>
              </w:rPr>
              <w:t>各环节之间的协作还不够紧密，信息沟通存在障碍，导致在应对需求变化时，协同性不足。</w:t>
            </w:r>
          </w:p>
          <w:p>
            <w:pPr>
              <w:jc w:val="both"/>
              <w:rPr>
                <w:rFonts w:ascii="宋体" w:hAnsi="宋体"/>
                <w:sz w:val="24"/>
              </w:rPr>
            </w:pPr>
            <w:r>
              <w:rPr>
                <w:rFonts w:ascii="宋体" w:hAnsi="宋体"/>
                <w:sz w:val="24"/>
              </w:rPr>
              <w:t>（2）解决方法</w:t>
            </w:r>
          </w:p>
          <w:p>
            <w:pPr>
              <w:jc w:val="both"/>
              <w:rPr>
                <w:rFonts w:ascii="宋体" w:hAnsi="宋体"/>
                <w:sz w:val="24"/>
              </w:rPr>
            </w:pPr>
            <w:r>
              <w:rPr>
                <w:rFonts w:ascii="宋体" w:hAnsi="宋体"/>
                <w:sz w:val="24"/>
              </w:rPr>
              <w:t>进一步加强供应链各环节之间的合作，建立战略合作伙伴关系，通过合同、协议等方式明确各方责任和利益，提高协作的稳定性和有效性。</w:t>
            </w:r>
          </w:p>
          <w:p>
            <w:pPr>
              <w:jc w:val="both"/>
              <w:rPr>
                <w:rFonts w:ascii="宋体" w:hAnsi="宋体"/>
                <w:sz w:val="24"/>
              </w:rPr>
            </w:pPr>
            <w:r>
              <w:rPr>
                <w:rFonts w:ascii="宋体" w:hAnsi="宋体"/>
                <w:sz w:val="24"/>
              </w:rPr>
              <w:t>引入先进的预测模型和数据分析工具，基于历史数据和市场趋势，更准确地预测市场需求，降低订单波动幅度。</w:t>
            </w:r>
          </w:p>
          <w:p>
            <w:pPr>
              <w:jc w:val="both"/>
              <w:rPr>
                <w:rFonts w:ascii="宋体" w:hAnsi="宋体"/>
                <w:sz w:val="24"/>
              </w:rPr>
            </w:pPr>
            <w:r>
              <w:rPr>
                <w:rFonts w:ascii="宋体" w:hAnsi="宋体"/>
                <w:sz w:val="24"/>
              </w:rPr>
              <w:t>优化信息传递流程，确保信息在各环节之间快速、准确地传递，减少信息失真和延误。</w:t>
            </w:r>
          </w:p>
          <w:p>
            <w:pPr>
              <w:jc w:val="both"/>
              <w:rPr>
                <w:rFonts w:ascii="宋体" w:hAnsi="宋体"/>
                <w:sz w:val="24"/>
              </w:rPr>
            </w:pPr>
            <w:r>
              <w:rPr>
                <w:rFonts w:ascii="宋体" w:hAnsi="宋体"/>
                <w:sz w:val="24"/>
              </w:rPr>
              <w:t>3、战略模式</w:t>
            </w:r>
          </w:p>
          <w:p>
            <w:pPr>
              <w:jc w:val="both"/>
              <w:rPr>
                <w:rFonts w:ascii="宋体" w:hAnsi="宋体"/>
                <w:sz w:val="24"/>
              </w:rPr>
            </w:pPr>
            <w:r>
              <w:rPr>
                <w:rFonts w:ascii="宋体" w:hAnsi="宋体"/>
                <w:sz w:val="24"/>
              </w:rPr>
              <w:t>（1）问题</w:t>
            </w:r>
          </w:p>
          <w:p>
            <w:pPr>
              <w:jc w:val="both"/>
              <w:rPr>
                <w:rFonts w:ascii="宋体" w:hAnsi="宋体"/>
                <w:sz w:val="24"/>
              </w:rPr>
            </w:pPr>
            <w:r>
              <w:rPr>
                <w:rFonts w:ascii="宋体" w:hAnsi="宋体"/>
                <w:sz w:val="24"/>
              </w:rPr>
              <w:t>信息共享系统的稳定性和安全性面临挑战，可能出现数据泄露、系统故障等问题，影响供应链正常运作。</w:t>
            </w:r>
          </w:p>
          <w:p>
            <w:pPr>
              <w:jc w:val="both"/>
              <w:rPr>
                <w:rFonts w:ascii="宋体" w:hAnsi="宋体"/>
                <w:sz w:val="24"/>
              </w:rPr>
            </w:pPr>
            <w:r>
              <w:rPr>
                <w:rFonts w:ascii="宋体" w:hAnsi="宋体"/>
                <w:sz w:val="24"/>
              </w:rPr>
              <w:t>各环节对信息的理解和应用能力存在差异，可能导致基于共享信息做出的决策不一致。</w:t>
            </w:r>
          </w:p>
          <w:p>
            <w:pPr>
              <w:jc w:val="both"/>
              <w:rPr>
                <w:rFonts w:ascii="宋体" w:hAnsi="宋体"/>
                <w:sz w:val="24"/>
              </w:rPr>
            </w:pPr>
            <w:r>
              <w:rPr>
                <w:rFonts w:ascii="宋体" w:hAnsi="宋体"/>
                <w:sz w:val="24"/>
              </w:rPr>
              <w:t>（2）解决方法</w:t>
            </w:r>
          </w:p>
          <w:p>
            <w:pPr>
              <w:jc w:val="both"/>
              <w:rPr>
                <w:rFonts w:ascii="宋体" w:hAnsi="宋体"/>
                <w:sz w:val="24"/>
              </w:rPr>
            </w:pPr>
            <w:r>
              <w:rPr>
                <w:rFonts w:ascii="宋体" w:hAnsi="宋体"/>
                <w:sz w:val="24"/>
              </w:rPr>
              <w:t>基于共享信息在每一轮的实验中留存一定的安全库存，在保留不缺货情况下使自己的利益最大化。</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392"/>
        </w:trPr>
        <w:tc>
          <w:tcPr>
            <w:tcW w:w="1908" w:type="dxa"/>
            <w:vAlign w:val="center"/>
          </w:tcPr>
          <w:p>
            <w:pPr>
              <w:spacing w:line="360" w:lineRule="auto"/>
              <w:jc w:val="center"/>
              <w:rPr>
                <w:rFonts w:ascii="宋体" w:hAnsi="宋体"/>
                <w:sz w:val="24"/>
              </w:rPr>
            </w:pPr>
            <w:r>
              <w:rPr>
                <w:rFonts w:ascii="宋体" w:hAnsi="宋体" w:hint="eastAsia"/>
                <w:sz w:val="24"/>
              </w:rPr>
              <w:t>实验收获</w:t>
            </w:r>
          </w:p>
        </w:tc>
        <w:tc>
          <w:tcPr>
            <w:tcW w:w="6614" w:type="dxa"/>
            <w:gridSpan w:val="3"/>
          </w:tcPr>
          <w:p>
            <w:pPr>
              <w:jc w:val="both"/>
              <w:rPr>
                <w:rFonts w:ascii="宋体" w:hAnsi="宋体"/>
                <w:sz w:val="24"/>
              </w:rPr>
            </w:pPr>
            <w:r>
              <w:rPr>
                <w:rFonts w:ascii="宋体" w:hAnsi="宋体"/>
                <w:sz w:val="24"/>
              </w:rPr>
              <w:t>1、知识层面</w:t>
            </w:r>
          </w:p>
          <w:p>
            <w:pPr>
              <w:jc w:val="both"/>
              <w:rPr>
                <w:rFonts w:ascii="宋体" w:hAnsi="宋体"/>
                <w:sz w:val="24"/>
              </w:rPr>
            </w:pPr>
            <w:r>
              <w:rPr>
                <w:rFonts w:ascii="宋体" w:hAnsi="宋体"/>
                <w:sz w:val="24"/>
              </w:rPr>
              <w:t>（1）深刻理解了牛鞭效应在供应链中的形成机制和影响。通过实验数据清晰地看到需求信息在供应链传递过程中的扭曲和放大，以及这种现象对生产、库存和成本的负面影响。明白了牛鞭效应不仅仅是简单的需求波动问题，而是涉及到供应链各环节的信息处理、决策方式和协作关系。</w:t>
            </w:r>
          </w:p>
          <w:p>
            <w:pPr>
              <w:jc w:val="both"/>
              <w:rPr>
                <w:rFonts w:ascii="宋体" w:hAnsi="宋体"/>
                <w:sz w:val="24"/>
              </w:rPr>
            </w:pPr>
            <w:r>
              <w:rPr>
                <w:rFonts w:ascii="宋体" w:hAnsi="宋体"/>
                <w:sz w:val="24"/>
              </w:rPr>
              <w:t>（2）掌握了不同供应链模式对牛鞭效应的抑制作用。缩短收货延迟期能够加快信息传递和库存调整速度，降低订单波动幅度；实现信息共享则从根本上改变了生产和库存决策的依据，使供应链能够更精准地匹配市场需求，有效抑制牛鞭效应。这为在实际供应链管理中选择合适的模式提供了理论依据。</w:t>
            </w:r>
          </w:p>
          <w:p>
            <w:pPr>
              <w:jc w:val="both"/>
              <w:rPr>
                <w:rFonts w:ascii="宋体" w:hAnsi="宋体"/>
                <w:sz w:val="24"/>
              </w:rPr>
            </w:pPr>
            <w:r>
              <w:rPr>
                <w:rFonts w:ascii="宋体" w:hAnsi="宋体"/>
                <w:sz w:val="24"/>
              </w:rPr>
              <w:t>（3）学习了多种库存管理方法和策略，如联合库存管理、供应商管理库存等，以及它们在优化库存水平、降低成本方面的作用。了解到不同库存管理方法的适用场景和实施要点，能够根据供应链实际情况选择合适的库存管理方式。</w:t>
            </w:r>
          </w:p>
          <w:p>
            <w:pPr>
              <w:jc w:val="both"/>
              <w:rPr>
                <w:rFonts w:ascii="宋体" w:hAnsi="宋体"/>
                <w:sz w:val="24"/>
              </w:rPr>
            </w:pPr>
            <w:r>
              <w:rPr>
                <w:rFonts w:ascii="宋体" w:hAnsi="宋体"/>
                <w:sz w:val="24"/>
              </w:rPr>
              <w:t>2、实践层面</w:t>
            </w:r>
          </w:p>
          <w:p>
            <w:pPr>
              <w:jc w:val="both"/>
              <w:rPr>
                <w:rFonts w:ascii="宋体" w:hAnsi="宋体"/>
                <w:sz w:val="24"/>
              </w:rPr>
            </w:pPr>
            <w:r>
              <w:rPr>
                <w:rFonts w:ascii="宋体" w:hAnsi="宋体"/>
                <w:sz w:val="24"/>
              </w:rPr>
              <w:t>（1）提升了在供应链环境下的决策能力。在实验中，需要根据市场需求变化、库存状况和供应链各环节信息做出订单决策、生产决策等。通过不断实践，学会了综合考虑各种因素，权衡利弊，做出更合理的决策。例如，在标准模式下，学会了如何在库存积压和缺货风险之间找到平衡；在战略模式下，能够根据实时共享信息制定精准的生产计划。</w:t>
            </w:r>
          </w:p>
          <w:p>
            <w:pPr>
              <w:jc w:val="both"/>
              <w:rPr>
                <w:rFonts w:ascii="宋体" w:hAnsi="宋体"/>
                <w:sz w:val="24"/>
              </w:rPr>
            </w:pPr>
            <w:r>
              <w:rPr>
                <w:rFonts w:ascii="宋体" w:hAnsi="宋体"/>
                <w:sz w:val="24"/>
              </w:rPr>
              <w:t>（2）增强了团队协作和沟通能力。在实验中，与供应链其他环节（零售商、批发商、工厂）进行了密切的互动和协作。需要及时沟通订单信息、库存情况等，共同应对市场变化。通过与团队成员的协作，学会了如何有效地沟通和协调各方利益，提高供应链整体运作效率。</w:t>
            </w:r>
          </w:p>
          <w:p>
            <w:pPr>
              <w:jc w:val="both"/>
              <w:rPr>
                <w:rFonts w:ascii="宋体" w:hAnsi="宋体"/>
                <w:sz w:val="24"/>
              </w:rPr>
            </w:pPr>
            <w:r>
              <w:rPr>
                <w:rFonts w:ascii="宋体" w:hAnsi="宋体"/>
                <w:sz w:val="24"/>
              </w:rPr>
              <w:t>（3）培养了数据分析和问题解决能力。实验过程中产生了大量数据，通过对这些数据的分析，能够发现供应链运作中存在的问题，并提出针对性的解决方法。例如，通过分析订单波动数据，找出牛鞭效应的影响因素；通过对比不同模式下的库存数据，评估库存管理策略的效果。这种数据分析和问题解决能力在实际供应链管理中具有重要价值。</w:t>
            </w:r>
          </w:p>
          <w:p>
            <w:pPr>
              <w:jc w:val="both"/>
              <w:rPr>
                <w:rFonts w:ascii="宋体" w:hAnsi="宋体"/>
                <w:sz w:val="24"/>
              </w:rPr>
            </w:pPr>
            <w:r>
              <w:rPr>
                <w:rFonts w:ascii="宋体" w:hAnsi="宋体"/>
                <w:sz w:val="24"/>
              </w:rPr>
              <w:t>3、未来应用层面</w:t>
            </w:r>
          </w:p>
          <w:p>
            <w:pPr>
              <w:jc w:val="both"/>
              <w:rPr>
                <w:rFonts w:ascii="宋体" w:hAnsi="宋体"/>
                <w:sz w:val="24"/>
              </w:rPr>
            </w:pPr>
            <w:r>
              <w:rPr>
                <w:rFonts w:ascii="宋体" w:hAnsi="宋体"/>
                <w:sz w:val="24"/>
              </w:rPr>
              <w:t>在实际工作中，能够运用实验中所学的知识和技能，优化所在企业的供应链管理。例如，推动企业建立信息共享平台，加强与供应商和客户的协作，采用更科学的库存管理方法，降低牛鞭效应的影响，提高供应链的效率和竞争力。</w:t>
            </w:r>
          </w:p>
          <w:p>
            <w:pPr>
              <w:jc w:val="both"/>
              <w:rPr>
                <w:rFonts w:ascii="宋体" w:hAnsi="宋体"/>
                <w:sz w:val="24"/>
              </w:rPr>
            </w:pPr>
            <w:r>
              <w:rPr>
                <w:rFonts w:ascii="宋体" w:hAnsi="宋体"/>
                <w:sz w:val="24"/>
              </w:rPr>
              <w:t>综上所述，本次物流啤酒实验是一次非常有价值的实践活动，在知识、实践和未来应用等多个层面都给我带来了丰富的收获，为今后从事供应链管理相关工作奠定了坚实的基础。</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38"/>
        </w:trPr>
        <w:tc>
          <w:tcPr>
            <w:tcW w:w="1908" w:type="dxa"/>
            <w:vAlign w:val="center"/>
          </w:tcPr>
          <w:p>
            <w:pPr>
              <w:spacing w:line="360" w:lineRule="auto"/>
              <w:jc w:val="center"/>
              <w:rPr>
                <w:rFonts w:ascii="宋体" w:hAnsi="宋体" w:hint="eastAsia"/>
                <w:sz w:val="24"/>
              </w:rPr>
            </w:pPr>
            <w:r>
              <w:rPr>
                <w:rFonts w:ascii="宋体" w:hAnsi="宋体" w:hint="eastAsia"/>
                <w:sz w:val="24"/>
              </w:rPr>
              <w:t>教师评分（等级）</w:t>
            </w:r>
          </w:p>
        </w:tc>
        <w:tc>
          <w:tcPr>
            <w:tcW w:w="6614" w:type="dxa"/>
            <w:gridSpan w:val="3"/>
          </w:tcPr>
          <w:p>
            <w:pPr>
              <w:jc w:val="both"/>
              <w:rPr>
                <w:rFonts w:ascii="宋体" w:hAnsi="宋体"/>
                <w:sz w:val="24"/>
              </w:rPr>
            </w:pPr>
            <w:r>
              <w:rPr>
                <w:rFonts w:ascii="宋体" w:hAnsi="宋体"/>
                <w:sz w:val="24"/>
              </w:rPr>
              <w:t>100</w:t>
            </w:r>
          </w:p>
        </w:tc>
      </w:tr>
    </w:tbl>
    <w:p>
      <w:pPr>
        <w:spacing w:after="120"/>
        <w:jc w:val="both"/>
        <w:rPr>
          <w:rFonts w:ascii="黑体" w:eastAsia="黑体" w:hAnsi="宋体"/>
          <w:sz w:val="32"/>
          <w:szCs w:val="32"/>
        </w:rPr>
      </w:pPr>
    </w:p>
    <w:p>
      <w:pPr>
        <w:rPr>
          <w:sz w:val="11"/>
          <w:szCs w:val="11"/>
        </w:rPr>
      </w:pPr>
    </w:p>
    <w:sectPr>
      <w:footerReference w:type="even" r:id="rId7"/>
      <w:footerReference w:type="default" r:id="rId8"/>
      <w:pgSz w:w="11906" w:h="16838"/>
      <w:pgMar w:top="1440" w:right="1800" w:bottom="1440" w:left="1800" w:header="851" w:footer="992" w:gutter="0"/>
      <w:pgNumType w:start="0"/>
      <w:cols w:num="1" w:space="425"/>
      <w:titlePg/>
      <w:docGrid w:type="lines" w:linePitch="312" w:charSpace="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date="0001-01-01T00:00:00Z">
    <w:p>
      <w:pPr>
        <w:pStyle w:val="CommentText"/>
      </w:pPr>
      <w:r>
        <w:rPr>
          <w:rStyle w:val="CommentReference"/>
        </w:rPr>
        <w:annotationRef/>
      </w:r>
      <w:r>
        <w:t>image.png</w:t>
      </w:r>
    </w:p>
  </w:comment>
  <w:comment w:id="2" w:date="0001-01-01T00:00:00Z">
    <w:p>
      <w:pPr>
        <w:pStyle w:val="CommentText"/>
      </w:pPr>
      <w:r>
        <w:rPr>
          <w:rStyle w:val="CommentReference"/>
        </w:rPr>
        <w:annotationRef/>
      </w:r>
      <w:r>
        <w:t>image.png</w:t>
      </w:r>
    </w:p>
  </w:comment>
  <w:comment w:id="3" w:date="0001-01-01T00:00:00Z">
    <w:p>
      <w:pPr>
        <w:pStyle w:val="CommentText"/>
      </w:pPr>
      <w:r>
        <w:rPr>
          <w:rStyle w:val="CommentReference"/>
        </w:rPr>
        <w:annotationRef/>
      </w:r>
      <w:r>
        <w:t>image.png</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10</w:t>
    </w:r>
    <w:r>
      <w:rPr>
        <w:rStyle w:val="PageNumber"/>
      </w:rPr>
      <w:fldChar w:fldCharType="end"/>
    </w:r>
  </w:p>
  <w:p>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m:mathPr>
    <m:mathFont m:val="Cambria Math"/>
  </m:mathPr>
  <w:compat>
    <w:spaceForUL/>
    <w:balanceSingleByteDoubleByteWidth/>
    <w:doNotLeaveBackslashAlone/>
    <w:ulTrailSpace/>
    <w:doNotExpandShiftReturn/>
    <w:adjustLineHeightInTable/>
    <w:useFELayout/>
  </w:compat>
  <w:docVars>
    <w:docVar w:name="commondata" w:val="eyJoZGlkIjoiNjk2MjA4YjE0Y2FlZjkyNjNmNzBhZTU2YWRkYmFlYWQifQ=="/>
  </w:docVars>
  <w:themeFontLang w:val="en-US" w:eastAsia="zh-CN"/>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semiHidden="0" w:uiPriority="0" w:unhideWhenUsed="0" w:qFormat="1"/>
    <w:lsdException w:name="footer" w:semiHidden="0" w:uiPriority="0" w:unhideWhenUsed="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semiHidden="0" w:uiPriority="0" w:unhideWhenUsed="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qFormat="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Normal (Web)"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semiHidden="0" w:uiPriority="0" w:unhideWhenUsed="0"/>
    <w:lsdException w:name="Table Subtle 2" w:uiPriority="0"/>
    <w:lsdException w:name="Table Web 1" w:uiPriority="0"/>
    <w:lsdException w:name="Table Web 2" w:semiHidden="0" w:uiPriority="0" w:unhideWhenUsed="0"/>
    <w:lsdException w:name="Table Web 3" w:semiHidden="0" w:uiPriority="0" w:unhideWhenUsed="0"/>
    <w:lsdException w:name="Balloon Text" w:uiPriority="0"/>
    <w:lsdException w:name="Table Grid" w:semiHidden="0" w:uiPriority="0"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a">
    <w:name w:val="页眉 字符"/>
    <w:link w:val="Header"/>
    <w:rPr>
      <w:kern w:val="2"/>
      <w:sz w:val="18"/>
      <w:szCs w:val="18"/>
    </w:rPr>
  </w:style>
  <w:style w:type="paragraph" w:styleId="CommentText">
    <w:name w:val="annotation text"/>
    <w:basedOn w:val="Normal"/>
    <w:rsid w:val="00805BCE"/>
    <w:rPr>
      <w:sz w:val="20"/>
      <w:szCs w:val="20"/>
    </w:rPr>
  </w:style>
  <w:style w:type="character" w:styleId="CommentReference">
    <w:name w:val="annotation reference"/>
    <w:basedOn w:val="DefaultParagraphFont"/>
    <w:rsid w:val="00805BCE"/>
    <w:rPr>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comments" Target="comments.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D0FB7-C7C1-4EA9-8CD8-7AE28899514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Words>
  <Characters>68</Characters>
  <Application>Microsoft Office Word</Application>
  <DocSecurity>0</DocSecurity>
  <Lines>12</Lines>
  <Paragraphs>3</Paragraphs>
  <ScaleCrop>false</ScaleCrop>
  <Company>zy</Company>
  <LinksUpToDate>false</LinksUpToDate>
  <CharactersWithSpaces>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南京审计学院</dc:title>
  <dc:creator>a</dc:creator>
  <cp:lastModifiedBy>秦新国</cp:lastModifiedBy>
  <cp:revision>2</cp:revision>
  <cp:lastPrinted>2007-02-27T18:25:00Z</cp:lastPrinted>
  <dcterms:created xsi:type="dcterms:W3CDTF">2023-03-09T01:25:00Z</dcterms:created>
  <dcterms:modified xsi:type="dcterms:W3CDTF">2023-03-10T01:08:36Z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A1A1DC8AB81246829B6E3A2EB9D7BF9A</vt:lpwstr>
  </property>
  <property fmtid="{D5CDD505-2E9C-101B-9397-08002B2CF9AE}" pid="3" name="KSOProductBuildVer">
    <vt:lpwstr>2052-11.1.0.13703</vt:lpwstr>
  </property>
</Properties>
</file>